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val="0"/>
          <w:i w:val="0"/>
          <w:caps w:val="0"/>
          <w:color w:val="000000"/>
          <w:spacing w:val="0"/>
          <w:sz w:val="28"/>
          <w:szCs w:val="28"/>
          <w:lang w:val="en-US" w:eastAsia="zh-CN"/>
        </w:rPr>
      </w:pPr>
      <w:r>
        <w:rPr>
          <w:rFonts w:hint="eastAsia" w:ascii="宋体" w:hAnsi="宋体" w:eastAsia="宋体" w:cs="宋体"/>
          <w:b w:val="0"/>
          <w:bCs w:val="0"/>
          <w:i w:val="0"/>
          <w:caps w:val="0"/>
          <w:color w:val="000000"/>
          <w:spacing w:val="0"/>
          <w:sz w:val="28"/>
          <w:szCs w:val="28"/>
          <w:lang w:val="en-US" w:eastAsia="zh-CN"/>
        </w:rPr>
        <w:t>附件三</w:t>
      </w:r>
    </w:p>
    <w:p>
      <w:pPr>
        <w:ind w:firstLine="321" w:firstLineChars="100"/>
        <w:jc w:val="center"/>
        <w:rPr>
          <w:rFonts w:hint="eastAsia" w:ascii="宋体" w:hAnsi="宋体" w:eastAsia="宋体" w:cs="宋体"/>
          <w:b/>
          <w:bCs/>
          <w:i w:val="0"/>
          <w:caps w:val="0"/>
          <w:color w:val="000000"/>
          <w:spacing w:val="0"/>
          <w:sz w:val="32"/>
          <w:szCs w:val="32"/>
          <w:lang w:val="en-US" w:eastAsia="zh-CN"/>
        </w:rPr>
      </w:pPr>
      <w:r>
        <w:rPr>
          <w:rFonts w:hint="eastAsia" w:ascii="宋体" w:hAnsi="宋体" w:eastAsia="宋体" w:cs="宋体"/>
          <w:b/>
          <w:bCs/>
          <w:i w:val="0"/>
          <w:caps w:val="0"/>
          <w:color w:val="000000"/>
          <w:spacing w:val="0"/>
          <w:sz w:val="32"/>
          <w:szCs w:val="32"/>
          <w:lang w:val="en-US" w:eastAsia="zh-CN"/>
        </w:rPr>
        <w:t>蚌埠医学院第二附属医院博士人才引进政策</w:t>
      </w:r>
    </w:p>
    <w:p>
      <w:pPr>
        <w:ind w:firstLine="321" w:firstLineChars="100"/>
        <w:jc w:val="center"/>
        <w:rPr>
          <w:rFonts w:hint="eastAsia" w:ascii="宋体" w:hAnsi="宋体" w:eastAsia="宋体" w:cs="宋体"/>
          <w:b/>
          <w:bCs/>
          <w:i w:val="0"/>
          <w:caps w:val="0"/>
          <w:color w:val="000000"/>
          <w:spacing w:val="0"/>
          <w:sz w:val="32"/>
          <w:szCs w:val="32"/>
          <w:lang w:val="en-US" w:eastAsia="zh-CN"/>
        </w:rPr>
      </w:pPr>
    </w:p>
    <w:p>
      <w:pPr>
        <w:ind w:firstLine="560" w:firstLineChars="2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鉴于医院新院即将开诊，即日起医院将对至我院工作的前二十位博士予以享受以下待遇：</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（1）办理安徽省省直事业单位入编手续；</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（2）提供安家费40—60万元；</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（3）提供科研启动基金15—30万元；</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（4）给予近三年内单篇SCI论文奖励1—10万元；</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（5）帮助解决配偶就业与子女上学问题；</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（6）未晋升副高前院内享受副高职称待遇，已具备副高职称者院内兑现正高职称待遇，时间为5年；</w:t>
      </w:r>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（7）引进博士是我院所在科室首位博士者可担任科副主任，副高级职称以上的博士能够胜任相应学科三甲医院所有技术项目且具备一定管理能力者可担任科主任；</w:t>
      </w:r>
      <w:bookmarkStart w:id="0" w:name="_GoBack"/>
      <w:bookmarkEnd w:id="0"/>
    </w:p>
    <w:p>
      <w:pPr>
        <w:ind w:firstLine="280" w:firstLineChars="100"/>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（8）其它待遇面谈。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70C86"/>
    <w:rsid w:val="0B072942"/>
    <w:rsid w:val="0CDB60F3"/>
    <w:rsid w:val="2E063BA4"/>
    <w:rsid w:val="4E0E31C2"/>
    <w:rsid w:val="51C875A2"/>
    <w:rsid w:val="6AA9678B"/>
    <w:rsid w:val="788C4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Meteor</cp:lastModifiedBy>
  <dcterms:modified xsi:type="dcterms:W3CDTF">2018-08-24T09:23:08Z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