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5" w:rsidRDefault="006E1705" w:rsidP="006E1705">
      <w:pPr>
        <w:widowControl/>
        <w:wordWrap w:val="0"/>
        <w:spacing w:before="100" w:beforeAutospacing="1" w:after="100" w:afterAutospacing="1" w:line="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附表2:</w:t>
      </w:r>
      <w:bookmarkStart w:id="0" w:name="_GoBack"/>
      <w:bookmarkEnd w:id="0"/>
    </w:p>
    <w:p w:rsidR="006E1705" w:rsidRPr="00F2179B" w:rsidRDefault="006E1705" w:rsidP="006E1705">
      <w:pPr>
        <w:widowControl/>
        <w:wordWrap w:val="0"/>
        <w:spacing w:before="100" w:beforeAutospacing="1" w:after="100" w:afterAutospacing="1" w:line="0" w:lineRule="atLeast"/>
        <w:jc w:val="center"/>
        <w:rPr>
          <w:rFonts w:ascii="黑体" w:eastAsia="黑体" w:hAnsi="宋体" w:cs="宋体"/>
          <w:spacing w:val="-20"/>
          <w:kern w:val="0"/>
          <w:sz w:val="36"/>
          <w:szCs w:val="36"/>
        </w:rPr>
      </w:pPr>
      <w:r w:rsidRPr="00F2179B"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海口市妇幼保健院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2018年</w:t>
      </w:r>
      <w:r w:rsidRPr="00F2179B"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公开招聘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工作人员一览表</w:t>
      </w:r>
    </w:p>
    <w:tbl>
      <w:tblPr>
        <w:tblW w:w="10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780"/>
        <w:gridCol w:w="562"/>
        <w:gridCol w:w="536"/>
        <w:gridCol w:w="640"/>
        <w:gridCol w:w="1230"/>
        <w:gridCol w:w="1070"/>
        <w:gridCol w:w="910"/>
        <w:gridCol w:w="2623"/>
        <w:gridCol w:w="1449"/>
      </w:tblGrid>
      <w:tr w:rsidR="006E1705" w:rsidTr="000673CD">
        <w:trPr>
          <w:trHeight w:val="531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</w:t>
            </w:r>
          </w:p>
          <w:p w:rsidR="006E1705" w:rsidRPr="00682859" w:rsidRDefault="006E1705" w:rsidP="000673CD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6E1705" w:rsidRPr="00682859" w:rsidRDefault="006E1705" w:rsidP="000673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53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6E1705" w:rsidRPr="00682859" w:rsidRDefault="006E1705" w:rsidP="000673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报考资格条件</w:t>
            </w:r>
          </w:p>
        </w:tc>
      </w:tr>
      <w:tr w:rsidR="006E1705" w:rsidTr="000673CD">
        <w:trPr>
          <w:trHeight w:val="448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682859" w:rsidRDefault="006E1705" w:rsidP="000673CD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682859" w:rsidRDefault="006E1705" w:rsidP="000673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682859" w:rsidRDefault="006E1705" w:rsidP="000673C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before="100" w:beforeAutospacing="1" w:after="100" w:afterAutospacing="1" w:line="240" w:lineRule="exact"/>
              <w:ind w:firstLineChars="49" w:firstLine="103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执业资格（职称）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682859" w:rsidRDefault="006E1705" w:rsidP="000673C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705" w:rsidRPr="00682859" w:rsidRDefault="006E1705" w:rsidP="000673C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岗位要求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705" w:rsidRPr="00682859" w:rsidRDefault="006E1705" w:rsidP="000673CD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 w:rsidRPr="0068285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其他</w:t>
            </w:r>
          </w:p>
        </w:tc>
      </w:tr>
      <w:tr w:rsidR="006E1705" w:rsidRPr="006A1477" w:rsidTr="000673CD">
        <w:trPr>
          <w:trHeight w:val="1307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妇产科</w:t>
            </w:r>
          </w:p>
        </w:tc>
        <w:tc>
          <w:tcPr>
            <w:tcW w:w="562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妇产科学</w:t>
            </w:r>
          </w:p>
        </w:tc>
        <w:tc>
          <w:tcPr>
            <w:tcW w:w="107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妇产科（含中医妇产科）执业医师及以上</w:t>
            </w:r>
          </w:p>
        </w:tc>
        <w:tc>
          <w:tcPr>
            <w:tcW w:w="91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40周岁及以下</w:t>
            </w:r>
          </w:p>
        </w:tc>
        <w:tc>
          <w:tcPr>
            <w:tcW w:w="2623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中级职称年龄放宽至45周岁，高级职称年龄放宽至50周岁。</w:t>
            </w:r>
          </w:p>
        </w:tc>
      </w:tr>
      <w:tr w:rsidR="006E1705" w:rsidTr="000673CD">
        <w:trPr>
          <w:trHeight w:val="870"/>
          <w:jc w:val="center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儿科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儿科学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儿科执业医师及以上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35周岁及以下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869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外科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临床医学、外科学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外科执业医师及以上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40周岁及以下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中级职称年龄放宽至45周岁，高级职称年龄放宽至50周岁。</w:t>
            </w:r>
          </w:p>
        </w:tc>
      </w:tr>
      <w:tr w:rsidR="006E1705" w:rsidTr="000673CD">
        <w:trPr>
          <w:trHeight w:val="1028"/>
          <w:jc w:val="center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麻醉科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麻醉学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外科执业医师及以上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35周岁及以下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870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儿保科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预防医学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儿科、公共卫生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执业医师及以上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35周岁及以下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1250"/>
          <w:jc w:val="center"/>
        </w:trPr>
        <w:tc>
          <w:tcPr>
            <w:tcW w:w="4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功能科</w:t>
            </w:r>
            <w:r>
              <w:rPr>
                <w:rFonts w:ascii="仿宋_GB2312" w:eastAsia="仿宋_GB2312" w:hAnsi="宋体" w:hint="eastAsia"/>
                <w:szCs w:val="21"/>
              </w:rPr>
              <w:t>（超声）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医学影像学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医学影像和放射治疗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执业医师及以上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35周岁及以下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中级职称年龄放宽至40周岁，高级职称年龄放宽至45</w:t>
            </w:r>
            <w:r>
              <w:rPr>
                <w:rFonts w:ascii="仿宋_GB2312" w:eastAsia="仿宋_GB2312" w:hint="eastAsia"/>
                <w:szCs w:val="21"/>
              </w:rPr>
              <w:t>周岁；中级职称及以上人员</w:t>
            </w:r>
            <w:r w:rsidRPr="00326CFE">
              <w:rPr>
                <w:rFonts w:ascii="仿宋_GB2312" w:eastAsia="仿宋_GB2312" w:hint="eastAsia"/>
                <w:szCs w:val="21"/>
              </w:rPr>
              <w:t>学历放宽至大专。</w:t>
            </w:r>
          </w:p>
        </w:tc>
      </w:tr>
      <w:tr w:rsidR="006E1705" w:rsidTr="000673CD">
        <w:trPr>
          <w:trHeight w:val="968"/>
          <w:jc w:val="center"/>
        </w:trPr>
        <w:tc>
          <w:tcPr>
            <w:tcW w:w="43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影像科</w:t>
            </w:r>
          </w:p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（放射）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医学影像学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26CFE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医学影像和放射治疗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执业医师及以上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35周岁及以下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360"/>
          <w:jc w:val="center"/>
        </w:trPr>
        <w:tc>
          <w:tcPr>
            <w:tcW w:w="43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26CFE">
              <w:rPr>
                <w:rFonts w:ascii="仿宋_GB2312" w:eastAsia="仿宋_GB2312" w:hAnsi="宋体" w:hint="eastAsia"/>
                <w:szCs w:val="21"/>
              </w:rPr>
              <w:br/>
              <w:t>医学影像学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放射医学</w:t>
            </w:r>
          </w:p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主治医师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326CFE">
              <w:rPr>
                <w:rFonts w:ascii="仿宋_GB2312" w:eastAsia="仿宋_GB2312" w:hAnsi="宋体" w:hint="eastAsia"/>
                <w:szCs w:val="21"/>
              </w:rPr>
              <w:t>40周岁及以下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26CFE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  <w:r>
              <w:rPr>
                <w:rFonts w:ascii="仿宋_GB2312" w:eastAsia="仿宋_GB2312" w:hAnsi="宋体" w:hint="eastAsia"/>
                <w:szCs w:val="21"/>
              </w:rPr>
              <w:t>之一的，同时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有磁共振上岗证。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705" w:rsidRPr="00326CFE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26CFE">
              <w:rPr>
                <w:rFonts w:ascii="仿宋_GB2312" w:eastAsia="仿宋_GB2312" w:hint="eastAsia"/>
                <w:szCs w:val="21"/>
              </w:rPr>
              <w:t>高级职称年龄放宽至45</w:t>
            </w:r>
            <w:r>
              <w:rPr>
                <w:rFonts w:ascii="仿宋_GB2312" w:eastAsia="仿宋_GB2312" w:hint="eastAsia"/>
                <w:szCs w:val="21"/>
              </w:rPr>
              <w:t>周岁。</w:t>
            </w:r>
          </w:p>
        </w:tc>
      </w:tr>
      <w:tr w:rsidR="006E1705" w:rsidTr="000673CD">
        <w:trPr>
          <w:trHeight w:val="360"/>
          <w:jc w:val="center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E4741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3E4741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病理科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专技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临床医学、</w:t>
            </w:r>
            <w:r w:rsidRPr="003E4741">
              <w:rPr>
                <w:rFonts w:ascii="仿宋_GB2312" w:eastAsia="仿宋_GB2312" w:hAnsi="宋体" w:hint="eastAsia"/>
                <w:szCs w:val="21"/>
              </w:rPr>
              <w:br/>
              <w:t>病理学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医学检验、病理执业医师及以上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3E4741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3E4741">
              <w:rPr>
                <w:rFonts w:ascii="仿宋_GB2312" w:eastAsia="仿宋_GB2312" w:hAnsi="宋体" w:hint="eastAsia"/>
                <w:szCs w:val="21"/>
              </w:rPr>
              <w:t>35周岁及以下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3E4741" w:rsidRDefault="006E1705" w:rsidP="000673CD">
            <w:pPr>
              <w:spacing w:line="0" w:lineRule="atLeas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有1年以上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二级甲等及以上医院本专业工作</w:t>
            </w:r>
            <w:r>
              <w:rPr>
                <w:rFonts w:ascii="仿宋_GB2312" w:eastAsia="仿宋_GB2312" w:hAnsi="宋体" w:hint="eastAsia"/>
                <w:szCs w:val="21"/>
              </w:rPr>
              <w:t>经历</w:t>
            </w:r>
            <w:r w:rsidRPr="00326CFE">
              <w:rPr>
                <w:rFonts w:ascii="仿宋_GB2312" w:eastAsia="仿宋_GB2312" w:hAnsi="宋体" w:hint="eastAsia"/>
                <w:szCs w:val="21"/>
              </w:rPr>
              <w:t>或全日制硕士研究生或取得住院医师</w:t>
            </w:r>
            <w:proofErr w:type="gramStart"/>
            <w:r w:rsidRPr="00326CFE">
              <w:rPr>
                <w:rFonts w:ascii="仿宋_GB2312" w:eastAsia="仿宋_GB2312" w:hAnsi="宋体" w:hint="eastAsia"/>
                <w:szCs w:val="21"/>
              </w:rPr>
              <w:t>规</w:t>
            </w:r>
            <w:proofErr w:type="gramEnd"/>
            <w:r w:rsidRPr="00326CFE">
              <w:rPr>
                <w:rFonts w:ascii="仿宋_GB2312" w:eastAsia="仿宋_GB2312" w:hAnsi="宋体" w:hint="eastAsia"/>
                <w:szCs w:val="21"/>
              </w:rPr>
              <w:t>培证人员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705" w:rsidRPr="003E4741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Cs w:val="21"/>
              </w:rPr>
            </w:pPr>
            <w:r w:rsidRPr="003E4741">
              <w:rPr>
                <w:rFonts w:ascii="仿宋_GB2312" w:eastAsia="仿宋_GB2312" w:hint="eastAsia"/>
                <w:szCs w:val="21"/>
              </w:rPr>
              <w:t>中级职称年龄放宽至40周岁，高级职称年龄放宽至45周岁。</w:t>
            </w:r>
          </w:p>
        </w:tc>
      </w:tr>
    </w:tbl>
    <w:p w:rsidR="006E1705" w:rsidRDefault="006E1705" w:rsidP="006E1705">
      <w:pPr>
        <w:widowControl/>
        <w:wordWrap w:val="0"/>
        <w:spacing w:before="100" w:beforeAutospacing="1" w:after="100" w:afterAutospacing="1" w:line="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lastRenderedPageBreak/>
        <w:t>附表2:</w:t>
      </w:r>
    </w:p>
    <w:p w:rsidR="006E1705" w:rsidRPr="00F2179B" w:rsidRDefault="006E1705" w:rsidP="006E1705">
      <w:pPr>
        <w:widowControl/>
        <w:wordWrap w:val="0"/>
        <w:spacing w:before="100" w:beforeAutospacing="1" w:after="100" w:afterAutospacing="1" w:line="0" w:lineRule="atLeast"/>
        <w:jc w:val="center"/>
        <w:rPr>
          <w:rFonts w:ascii="黑体" w:eastAsia="黑体" w:hAnsi="宋体" w:cs="宋体"/>
          <w:spacing w:val="-20"/>
          <w:kern w:val="0"/>
          <w:sz w:val="36"/>
          <w:szCs w:val="36"/>
        </w:rPr>
      </w:pPr>
      <w:r w:rsidRPr="00F2179B"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海口市妇幼保健院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2018年</w:t>
      </w:r>
      <w:r w:rsidRPr="00F2179B"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公开招聘</w:t>
      </w:r>
      <w:r>
        <w:rPr>
          <w:rFonts w:ascii="黑体" w:eastAsia="黑体" w:hAnsi="宋体" w:cs="宋体" w:hint="eastAsia"/>
          <w:bCs/>
          <w:spacing w:val="-20"/>
          <w:kern w:val="0"/>
          <w:sz w:val="36"/>
          <w:szCs w:val="36"/>
        </w:rPr>
        <w:t>工作人员一览表</w:t>
      </w:r>
    </w:p>
    <w:tbl>
      <w:tblPr>
        <w:tblW w:w="101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720"/>
        <w:gridCol w:w="464"/>
        <w:gridCol w:w="452"/>
        <w:gridCol w:w="672"/>
        <w:gridCol w:w="1280"/>
        <w:gridCol w:w="994"/>
        <w:gridCol w:w="882"/>
        <w:gridCol w:w="2393"/>
        <w:gridCol w:w="1834"/>
      </w:tblGrid>
      <w:tr w:rsidR="006E1705" w:rsidTr="000673CD">
        <w:trPr>
          <w:trHeight w:val="531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序</w:t>
            </w:r>
          </w:p>
          <w:p w:rsidR="006E1705" w:rsidRDefault="006E1705" w:rsidP="000673CD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6E1705" w:rsidRDefault="006E1705" w:rsidP="000673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6E1705" w:rsidRDefault="006E1705" w:rsidP="000673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805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报考资格条件</w:t>
            </w:r>
          </w:p>
        </w:tc>
      </w:tr>
      <w:tr w:rsidR="006E1705" w:rsidTr="000673CD">
        <w:trPr>
          <w:trHeight w:val="448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before="100" w:beforeAutospacing="1" w:after="100" w:afterAutospacing="1" w:line="240" w:lineRule="exact"/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执业资格（职称）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705" w:rsidRPr="002333EF" w:rsidRDefault="006E1705" w:rsidP="000673CD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岗位要求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705" w:rsidRPr="002333EF" w:rsidRDefault="006E1705" w:rsidP="000673CD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</w:t>
            </w:r>
          </w:p>
        </w:tc>
      </w:tr>
      <w:tr w:rsidR="006E1705" w:rsidTr="000673CD">
        <w:trPr>
          <w:trHeight w:val="675"/>
          <w:jc w:val="center"/>
        </w:trPr>
        <w:tc>
          <w:tcPr>
            <w:tcW w:w="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康复科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康复治疗学、</w:t>
            </w: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br/>
              <w:t>针灸推拿学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康复技师及以上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有1年以上二级甲等及以上医院本专业工作经历或全日制硕士研究生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195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临床医学、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儿科学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康复医师及以上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有1年以上二级甲等及以上医院本专业工作经历或全日制硕士研究生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934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检验科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医学检验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检验技师及以上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有1年以上二级甲等及以上医院本专业工作经历或全日制硕士研究生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870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药剂科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药学、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中药学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药师、中药师及以上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有1年以上二级甲等及以上医院本专业工作经历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549"/>
          <w:jc w:val="center"/>
        </w:trPr>
        <w:tc>
          <w:tcPr>
            <w:tcW w:w="41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护理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全日制本科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sz w:val="18"/>
                <w:szCs w:val="18"/>
              </w:rPr>
              <w:t>护士及以上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25周岁及以下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6E1705" w:rsidTr="000673CD">
        <w:trPr>
          <w:trHeight w:val="704"/>
          <w:jc w:val="center"/>
        </w:trPr>
        <w:tc>
          <w:tcPr>
            <w:tcW w:w="417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护理、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助产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护士</w:t>
            </w: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及以上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30周岁及以下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有1年以上二级甲等及以上医院本专业工作经历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中级职称年龄放宽至35周岁，高级职称年龄放宽至40周岁。</w:t>
            </w:r>
          </w:p>
        </w:tc>
      </w:tr>
      <w:tr w:rsidR="006E1705" w:rsidTr="000673CD">
        <w:trPr>
          <w:trHeight w:val="390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护理、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助产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护师及以上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有1年以上二级甲等及以上医院本专业工作经历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spacing w:line="0" w:lineRule="atLeas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87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信息科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电子信息工程、信息管理与信息系统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不限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相关工作经历</w:t>
            </w: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或全日制硕士研究生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中级职称年龄放宽至40周岁，高级职称年龄放宽至45周岁。</w:t>
            </w:r>
          </w:p>
        </w:tc>
      </w:tr>
      <w:tr w:rsidR="006E1705" w:rsidTr="000673CD">
        <w:trPr>
          <w:trHeight w:val="870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财务科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会计学、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初级会计及以上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相关</w:t>
            </w: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工作经历或全日制硕士研究生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widowControl/>
              <w:spacing w:line="0" w:lineRule="atLeas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 w:rsidRPr="002707D5">
              <w:rPr>
                <w:rFonts w:ascii="仿宋_GB2312" w:eastAsia="仿宋_GB2312" w:hint="eastAsia"/>
                <w:sz w:val="18"/>
                <w:szCs w:val="18"/>
              </w:rPr>
              <w:t>中级职称年龄放宽至40周岁，高级职称年龄放宽至45周岁；中级职称及以上人员学历放宽至全日制大专。</w:t>
            </w:r>
          </w:p>
        </w:tc>
      </w:tr>
      <w:tr w:rsidR="006E1705" w:rsidTr="000673CD">
        <w:trPr>
          <w:trHeight w:val="543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sz w:val="18"/>
                <w:szCs w:val="18"/>
              </w:rPr>
              <w:t>后勤管理科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专技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电气工程、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电气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有1年以上</w:t>
            </w:r>
            <w:r w:rsidRPr="002707D5">
              <w:rPr>
                <w:rFonts w:ascii="仿宋_GB2312" w:eastAsia="仿宋_GB2312" w:hint="eastAsia"/>
                <w:sz w:val="18"/>
                <w:szCs w:val="18"/>
              </w:rPr>
              <w:t>相关工作经历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E1705" w:rsidTr="000673CD">
        <w:trPr>
          <w:trHeight w:val="285"/>
          <w:jc w:val="center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2707D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管理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管理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有1年以上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相关工作经历</w:t>
            </w:r>
            <w:r w:rsidRPr="002707D5">
              <w:rPr>
                <w:rFonts w:ascii="仿宋_GB2312" w:eastAsia="仿宋_GB2312" w:hAnsi="宋体" w:hint="eastAsia"/>
                <w:sz w:val="18"/>
                <w:szCs w:val="18"/>
              </w:rPr>
              <w:t>或全日制医药卫生管理硕士研究生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6E1705" w:rsidTr="000673CD">
        <w:trPr>
          <w:trHeight w:val="762"/>
          <w:jc w:val="center"/>
        </w:trPr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2707D5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 w:rsidRPr="002707D5">
              <w:rPr>
                <w:rFonts w:ascii="仿宋_GB2312" w:eastAsia="仿宋_GB2312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705" w:rsidRPr="002707D5" w:rsidRDefault="006E1705" w:rsidP="000673CD">
            <w:pPr>
              <w:spacing w:line="0" w:lineRule="atLeast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</w:p>
        </w:tc>
      </w:tr>
      <w:tr w:rsidR="006E1705" w:rsidTr="00067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7"/>
          <w:jc w:val="center"/>
        </w:trPr>
        <w:tc>
          <w:tcPr>
            <w:tcW w:w="10108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1705" w:rsidRPr="002707D5" w:rsidRDefault="006E1705" w:rsidP="000673CD">
            <w:pPr>
              <w:spacing w:line="0" w:lineRule="atLeas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  <w:p w:rsidR="006E1705" w:rsidRPr="00B80535" w:rsidRDefault="006E1705" w:rsidP="000673CD">
            <w:pPr>
              <w:spacing w:before="60"/>
              <w:ind w:left="291"/>
              <w:rPr>
                <w:rFonts w:ascii="仿宋_GB2312" w:eastAsia="仿宋_GB2312" w:hint="eastAsia"/>
                <w:sz w:val="24"/>
              </w:rPr>
            </w:pPr>
            <w:r w:rsidRPr="00B80535">
              <w:rPr>
                <w:rFonts w:ascii="仿宋_GB2312" w:eastAsia="仿宋_GB2312" w:hint="eastAsia"/>
                <w:sz w:val="24"/>
              </w:rPr>
              <w:t>注：年龄计算时间截止到 2018 年 6 月 30 日。</w:t>
            </w:r>
          </w:p>
          <w:p w:rsidR="006E1705" w:rsidRPr="00F43203" w:rsidRDefault="006E1705" w:rsidP="000673CD">
            <w:pPr>
              <w:spacing w:line="0" w:lineRule="atLeast"/>
              <w:ind w:firstLineChars="300" w:firstLine="540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</w:tbl>
    <w:p w:rsidR="00BD56DC" w:rsidRPr="006E1705" w:rsidRDefault="00BD56DC"/>
    <w:sectPr w:rsidR="00BD56DC" w:rsidRPr="006E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83" w:rsidRDefault="00351A83" w:rsidP="006E1705">
      <w:r>
        <w:separator/>
      </w:r>
    </w:p>
  </w:endnote>
  <w:endnote w:type="continuationSeparator" w:id="0">
    <w:p w:rsidR="00351A83" w:rsidRDefault="00351A83" w:rsidP="006E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83" w:rsidRDefault="00351A83" w:rsidP="006E1705">
      <w:r>
        <w:separator/>
      </w:r>
    </w:p>
  </w:footnote>
  <w:footnote w:type="continuationSeparator" w:id="0">
    <w:p w:rsidR="00351A83" w:rsidRDefault="00351A83" w:rsidP="006E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C"/>
    <w:rsid w:val="001D16CC"/>
    <w:rsid w:val="00351A83"/>
    <w:rsid w:val="006E1705"/>
    <w:rsid w:val="00BD56DC"/>
    <w:rsid w:val="00E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705"/>
    <w:rPr>
      <w:rFonts w:eastAsia="华文细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705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705"/>
    <w:rPr>
      <w:rFonts w:eastAsia="华文细黑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705"/>
    <w:rPr>
      <w:rFonts w:eastAsia="华文细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705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细黑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705"/>
    <w:rPr>
      <w:rFonts w:eastAsia="华文细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Geely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2018-08-17T09:34:00Z</dcterms:created>
  <dcterms:modified xsi:type="dcterms:W3CDTF">2018-08-17T09:34:00Z</dcterms:modified>
</cp:coreProperties>
</file>