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cs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2017</w:t>
      </w:r>
      <w:r>
        <w:rPr>
          <w:rFonts w:hint="eastAsia" w:ascii="宋体" w:hAnsi="宋体"/>
          <w:b/>
          <w:sz w:val="28"/>
          <w:szCs w:val="28"/>
        </w:rPr>
        <w:t>年编外招聘岗位信息表</w:t>
      </w:r>
    </w:p>
    <w:tbl>
      <w:tblPr>
        <w:tblStyle w:val="3"/>
        <w:tblW w:w="10960" w:type="dxa"/>
        <w:tblInd w:w="-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191"/>
        <w:gridCol w:w="655"/>
        <w:gridCol w:w="2254"/>
        <w:gridCol w:w="2052"/>
        <w:gridCol w:w="3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招聘专业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3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备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内科医师</w:t>
            </w: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309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有执业医师资格证和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医师规范化培训合格证者优先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急诊科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临床医学/急救医学</w:t>
            </w:r>
          </w:p>
        </w:tc>
        <w:tc>
          <w:tcPr>
            <w:tcW w:w="20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外科医师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0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</w:t>
            </w: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0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0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6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重症医学科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0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感染科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全日制大专学历（已取得执业医师资格证）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3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8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0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9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0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皮肤科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0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消化内科（内镜方向）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0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全科医学科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全科医学</w:t>
            </w:r>
          </w:p>
        </w:tc>
        <w:tc>
          <w:tcPr>
            <w:tcW w:w="20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14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20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15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病理学（诊断医师）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0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16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B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超（诊断医师）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20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17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放射科（诊断医师）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20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18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放射科（技术）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309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有专业资格证者优先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19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康复医学科（医师）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康复医学/针灸推拿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3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康复医学科（技术）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3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205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3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输血科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205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3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药学（临床药师方向）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24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护理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须护士执业考试合格，年龄≤25周岁；特别优秀者可放宽至中专学历；男性优先。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25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信息科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计算机网络工程等相关专业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初级及以上专业技术职称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26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设备科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设备维修或计算机等相关专业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合计（人）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E33A2"/>
    <w:rsid w:val="3ADE33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2017-08-25T06:59:00Z</dcterms:created>
  <dc:creator>Administrator</dc:creator>
  <cp:lastModifiedBy>Administrator</cp:lastModifiedBy>
  <dcterms:modified xsi:type="dcterms:W3CDTF">2017-08-25T07:00:27Z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